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49A77">
      <w:pPr>
        <w:spacing w:line="400" w:lineRule="exact"/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福建广电网络集团泉州分公司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诉</w:t>
      </w:r>
      <w:r>
        <w:rPr>
          <w:rFonts w:hint="eastAsia" w:ascii="宋体" w:hAnsi="宋体" w:cs="Arial"/>
          <w:b/>
          <w:bCs/>
          <w:sz w:val="28"/>
          <w:szCs w:val="28"/>
          <w:lang w:val="en-US" w:eastAsia="zh-CN"/>
        </w:rPr>
        <w:t>讼案件代理</w:t>
      </w:r>
      <w:r>
        <w:rPr>
          <w:rFonts w:hint="eastAsia" w:ascii="宋体" w:hAnsi="宋体" w:cs="Arial"/>
          <w:b/>
          <w:bCs/>
          <w:sz w:val="28"/>
          <w:szCs w:val="28"/>
        </w:rPr>
        <w:t>服务</w:t>
      </w:r>
      <w:r>
        <w:rPr>
          <w:rFonts w:hint="eastAsia" w:ascii="宋体" w:hAnsi="宋体" w:cs="Arial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Arial"/>
          <w:b/>
          <w:bCs/>
          <w:sz w:val="28"/>
          <w:szCs w:val="28"/>
          <w:lang w:val="en-US" w:eastAsia="zh-CN"/>
        </w:rPr>
        <w:t>第二次</w:t>
      </w:r>
      <w:r>
        <w:rPr>
          <w:rFonts w:hint="eastAsia" w:ascii="宋体" w:hAnsi="宋体" w:cs="Arial"/>
          <w:b/>
          <w:bCs/>
          <w:sz w:val="28"/>
          <w:szCs w:val="28"/>
          <w:lang w:eastAsia="zh-CN"/>
        </w:rPr>
        <w:t>）采购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文件</w:t>
      </w:r>
    </w:p>
    <w:p w14:paraId="75134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hint="eastAsia" w:ascii="宋体" w:hAnsi="宋体" w:cs="Arial"/>
          <w:sz w:val="24"/>
        </w:rPr>
      </w:pPr>
    </w:p>
    <w:p w14:paraId="77797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我司现拟对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一项建设工程施工合同纠纷案件一审、二审（若有）代理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服务进行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案件标的额约89.75万元，案件管辖法院为泉州市丰泽区人民法院，开庭时间2025年6月19日。报价应包含法院一审、二审（若有）律师代理服务费、差旅费、食宿费等完成代理服务所需全部费用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。本次采用低价中选法，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以一审报价最低者中选，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一审报价不超过15000元，一审、二审合计报价不超过20000元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18C4B935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基本资格标准：</w:t>
      </w:r>
    </w:p>
    <w:p w14:paraId="7B3D584A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(1)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应是依据中国法律注册成立，具备国家行业主管部门颁发有效执业资格的律师事务所【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应在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文件中提供有效的律所执业许可证副本复印件（含年检记录页）并加盖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单位公章】。</w:t>
      </w:r>
    </w:p>
    <w:p w14:paraId="15D4CC54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(2)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前三年内（2022年1月1日起至本项目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截止之日止）应在经营活动中没有重大违法记录、未有过刑事犯罪记录、未受到律师行业协会处分（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应在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文件中出具书面声明：2022年1月1日起至本项目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截止之日止在执业活动中没有重大违法违规记录；未因违法经营受到刑事处罚或被行业主管部门责令停产停业、吊销许可证或执照、较大数额罚款等行政处罚；无犯罪记录；未受到律师行业协会处分。声明应加盖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单位公章）。</w:t>
      </w:r>
    </w:p>
    <w:p w14:paraId="6AC9C24E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备注：本项目“较大数额罚款”按财库〔2022〕3号文认定为200万元以上的罚款。</w:t>
      </w:r>
    </w:p>
    <w:p w14:paraId="6F5C3C52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(3) 人员要求：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应成立人数为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人或以上的法律服务团队为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人提供案件代理服务，团队成员应均为执业律师，律师需执业10年或以上。团队成员要求职业道德良好，无执业违法违规记录【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应在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文件中提供服务团队成员名单和在有效期内的律师执业证书（含年检页）；并书面承诺：服务团队成员职业道德良好，在执业活动中没有违法违规记录，未受到律师行业协会处分，未受到刑事处罚或行政处罚，无犯罪记录。以上材料均应加盖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单位公章】。</w:t>
      </w:r>
    </w:p>
    <w:p w14:paraId="60581279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注：律师执业年限计算方式为“2025-执业证书上年度代码标记的年份”，例如：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执业证书标记年份为2021，则其执业年限为：2025-2021=4年。</w:t>
      </w:r>
    </w:p>
    <w:p w14:paraId="479980FA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(4)两家或多家参与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，如单位负责人为同一人或者存在控股、管理关系的，不得同时参与本项目的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 w14:paraId="4FCA9BF7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(5)本次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不接受联合体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 w14:paraId="0A9F8777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二、服务要求</w:t>
      </w:r>
    </w:p>
    <w:p w14:paraId="63446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（1）按照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要求向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提供法律服务方案。</w:t>
      </w:r>
    </w:p>
    <w:p w14:paraId="4777C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（2）根据案件特点处理诉讼等一切案件相关事务，并跟踪案件全流程。</w:t>
      </w:r>
    </w:p>
    <w:p w14:paraId="61526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（3）应邀参与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针对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案件召开的专题会议，分析并提供相关法律意见。</w:t>
      </w:r>
    </w:p>
    <w:p w14:paraId="26FDE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（4）根据案件需要，指导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收集案件相关证据，整理案件清单。对已经提交的证据需要补充完善的地方，分析和提示要证明案件事实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还需协助提交的相关证据等内容，提出在取证方面当事人还需配合的其他事务等。</w:t>
      </w:r>
    </w:p>
    <w:p w14:paraId="33C27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）起草和准备案件材料，包括但不限于授权委托书、民事答辩状、书面代理意见、答辩意见、证据目录及说明、相关申请书等。    </w:t>
      </w:r>
    </w:p>
    <w:p w14:paraId="4B7BF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）若案件需调解/和解，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应全程参与指导调解/和解工作，保护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合法权益。</w:t>
      </w:r>
    </w:p>
    <w:p w14:paraId="78D20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）案件结案后，应围绕其所代理的案件在10个工作日内形成案件报告并提交给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 w14:paraId="50A44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）应负责其所代理案件的归档工作，根据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要求整理案卷档案纸质版并扫描电子版留存，确保一案一档。</w:t>
      </w:r>
    </w:p>
    <w:p w14:paraId="1AB1A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三、考核</w:t>
      </w:r>
    </w:p>
    <w:p w14:paraId="00226B32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案件结案后，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将对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所提供的服务进行考核，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应积极配合。考核由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所涉案件相关部门分别进行，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eastAsia="zh-CN"/>
        </w:rPr>
        <w:t>报价人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的最终考核得分为各部门考核分的平均分。</w:t>
      </w:r>
    </w:p>
    <w:p w14:paraId="4377075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</w:rPr>
        <w:t>考核得分总分为100分，得分在80分（含）以上的，则全额支付委托代理合同约定的当次代理费用；得分低于80分的，每低1分，扣除当次代理费用的1.25 %；考核得分分值为非整数的，则四舍五入小数点后数字取整数进行结算。考核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如下：</w:t>
      </w: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977"/>
        <w:gridCol w:w="567"/>
        <w:gridCol w:w="3543"/>
        <w:gridCol w:w="567"/>
        <w:gridCol w:w="573"/>
      </w:tblGrid>
      <w:tr w14:paraId="66183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903397">
            <w:pPr>
              <w:widowControl/>
              <w:jc w:val="center"/>
              <w:textAlignment w:val="center"/>
              <w:rPr>
                <w:rFonts w:ascii="宋体"/>
                <w:sz w:val="36"/>
                <w:szCs w:val="36"/>
              </w:rPr>
            </w:pPr>
            <w:r>
              <w:rPr>
                <w:rFonts w:hint="eastAsia" w:ascii="宋体"/>
                <w:kern w:val="0"/>
                <w:sz w:val="36"/>
                <w:szCs w:val="36"/>
              </w:rPr>
              <w:t>法律纠纷案件代理法律服务考核表</w:t>
            </w:r>
          </w:p>
        </w:tc>
      </w:tr>
      <w:tr w14:paraId="27AEC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9D03FC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服务团队成员：</w:t>
            </w:r>
          </w:p>
        </w:tc>
      </w:tr>
      <w:tr w14:paraId="0BC3A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788709">
            <w:pPr>
              <w:widowControl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E154A9">
            <w:pPr>
              <w:widowControl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/>
                <w:b/>
                <w:bCs/>
                <w:kern w:val="0"/>
                <w:sz w:val="20"/>
                <w:szCs w:val="20"/>
              </w:rPr>
              <w:t>服务内容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79C2EB">
            <w:pPr>
              <w:widowControl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/>
                <w:b/>
                <w:bCs/>
                <w:kern w:val="0"/>
                <w:sz w:val="20"/>
                <w:szCs w:val="20"/>
              </w:rPr>
              <w:t>分数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377DF3">
            <w:pPr>
              <w:widowControl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/>
                <w:b/>
                <w:bCs/>
                <w:kern w:val="0"/>
                <w:sz w:val="20"/>
                <w:szCs w:val="20"/>
              </w:rPr>
              <w:t>考核标准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E79F2E">
            <w:pPr>
              <w:widowControl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/>
                <w:b/>
                <w:bCs/>
                <w:kern w:val="0"/>
                <w:sz w:val="20"/>
                <w:szCs w:val="20"/>
              </w:rPr>
              <w:t>评分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D281A0">
            <w:pPr>
              <w:widowControl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20D5A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3AC778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033B90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指派业务能力和综合实力较强的律师代理各类诉讼、仲裁、执行等案件，并跟踪案件全流程。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10A542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A09352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1.是否有效维护甲方合法权益（5分）；</w:t>
            </w:r>
          </w:p>
          <w:p w14:paraId="5E408010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2.无正当理由拒不提供约定服务超过三个工作日（5分）；</w:t>
            </w:r>
          </w:p>
          <w:p w14:paraId="6B7DC665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3.怠于跟踪案件进度，一般接到甲方指令后不超过2个自然日（5分）。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30EFB3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688C28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</w:tr>
      <w:tr w14:paraId="622FF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05AE3F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FA8C30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根据案件情况研判，进行法律风险分析并出具法律意见书和细化的法律服务方案（出具相关材料的时限一般应不超过2个工作日）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E0FD75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683A2F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1.是否及时出具法律意见书和法律服务方案，出具相关材料的时限一般为3个工作日内，紧急情况下为2个工作日内（8分）；</w:t>
            </w:r>
          </w:p>
          <w:p w14:paraId="0C8CFE42">
            <w:pPr>
              <w:pStyle w:val="6"/>
              <w:widowControl/>
              <w:spacing w:after="0"/>
              <w:rPr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2.提供的法律意见书和法律服务方案的内容质量（7分）。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02F415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5A95C2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</w:tr>
      <w:tr w14:paraId="57488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E0CC19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02D7D6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应邀参与甲方针对相关案件召开的专题会议，分析并提供相关法律意见。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1F1725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20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C79739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1.是否根据甲方要求及时参加相关会议（10分）；</w:t>
            </w:r>
            <w:r>
              <w:rPr>
                <w:rFonts w:hint="eastAsia" w:asci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/>
                <w:kern w:val="0"/>
                <w:sz w:val="20"/>
                <w:szCs w:val="20"/>
              </w:rPr>
              <w:t>2.会议过程中对法律问题的分析论证情况（10分）。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0122B4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9D0153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</w:tr>
      <w:tr w14:paraId="0E5F6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783B46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869EEF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根据案件需要，指导甲方收集案件相关证据，整理案件清单。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8BFAA3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1B0174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1.对已经提交的证据需要补充完善的地方，分析和提示要证明案件事实甲方还需协助提交的相关证据等内容（5分）；</w:t>
            </w:r>
          </w:p>
          <w:p w14:paraId="4713887F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2.提出在取证方面甲方还需配合的其它事务等（5分）。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68434E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EAF900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</w:tr>
      <w:tr w14:paraId="23048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881B6F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9169F6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若案件需调解/和解，乙方应全程参与指导调解/和解工作，保护甲方合法权益。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9AC6E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CE53A7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1.是否有效维护甲方合法权益（3分）；</w:t>
            </w:r>
          </w:p>
          <w:p w14:paraId="2B6C1A8A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2.是否参与全程（2分）；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42F70C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0C7C2C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</w:tr>
      <w:tr w14:paraId="132BC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644D6C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FB2C7C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结案后，围绕代理案件形成案件报告提交给甲方。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E65B73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4F32C7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1.是否在10个工作日内提交案件报告（8分）；</w:t>
            </w:r>
          </w:p>
          <w:p w14:paraId="205BDAA1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2.案件报告撰写的质量（7分）。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DF2043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E59902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</w:tr>
      <w:tr w14:paraId="0C322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6B2878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FC42C2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结合为集团办理的法律实务，总结编辑典型案例剖析，及时分析甲方工作涉法注意事项，以指导甲方改进日常工作。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99EB0A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DA9AF2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1.是否及时提供典型案例剖析及涉法注意事项分析（5分）；</w:t>
            </w:r>
          </w:p>
          <w:p w14:paraId="52773E95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2.提供的总结材料质量（5分）。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A8BFF5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D8EE13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</w:tr>
      <w:tr w14:paraId="49AC7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2C9FE2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FE9F35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负责案件归档工作，根据甲方要求整理案卷档案纸质版并扫描电子版留存，确保一案一档。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2E82B4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59140C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1.是否及时归档（3分）；</w:t>
            </w:r>
          </w:p>
          <w:p w14:paraId="0262F67E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2.案件材料是否有缺漏（3分）；</w:t>
            </w:r>
          </w:p>
          <w:p w14:paraId="2996E2FE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3.是否按照要求做到一案一档（4分）。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8EEBFE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001EDB">
            <w:pPr>
              <w:widowControl/>
              <w:textAlignment w:val="center"/>
              <w:rPr>
                <w:rFonts w:ascii="宋体"/>
                <w:sz w:val="20"/>
                <w:szCs w:val="20"/>
              </w:rPr>
            </w:pPr>
          </w:p>
        </w:tc>
      </w:tr>
      <w:tr w14:paraId="64139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8A134E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考核得分总分为100分，得分在80分（含）以上的，则全额支付当次代理费用；得分低于80分的，每低1分，扣除当次代理费用的1.25%；考核得分分值为非整数的，则四舍五入小数点后数字取整数进行结算。</w:t>
            </w:r>
          </w:p>
        </w:tc>
      </w:tr>
      <w:tr w14:paraId="6ABB8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C02E42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违约情形说明（如无违约情况请填写无）：</w:t>
            </w:r>
          </w:p>
        </w:tc>
      </w:tr>
      <w:tr w14:paraId="5F53F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9B64F7">
            <w:pPr>
              <w:widowControl/>
              <w:jc w:val="left"/>
              <w:textAlignment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甲方代表：</w:t>
            </w:r>
          </w:p>
        </w:tc>
        <w:tc>
          <w:tcPr>
            <w:tcW w:w="5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7D2727">
            <w:pPr>
              <w:widowControl/>
              <w:jc w:val="left"/>
              <w:textAlignment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乙方代表：</w:t>
            </w:r>
          </w:p>
        </w:tc>
      </w:tr>
    </w:tbl>
    <w:p w14:paraId="7C84B35E">
      <w:pPr>
        <w:pStyle w:val="2"/>
        <w:spacing w:before="0" w:after="0" w:line="400" w:lineRule="exact"/>
      </w:pPr>
    </w:p>
    <w:p w14:paraId="7DCA0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四、付款方式</w:t>
      </w:r>
    </w:p>
    <w:p w14:paraId="486BD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代理合同签订，并收到中选人提供的该案件答辩意见后，采购人在收到报价人提供的增值税专用发票后支付代理服务费的50%，判决生效或案件结案后，根据考核结果，采购人在收到报价人提供的增值税专用发票后支付剩余款项。</w:t>
      </w:r>
    </w:p>
    <w:p w14:paraId="31C71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、报价表</w:t>
      </w:r>
    </w:p>
    <w:p w14:paraId="5903C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报价表如下表，请在202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28"/>
          <w:szCs w:val="28"/>
        </w:rPr>
        <w:t>日上午9：30之前，将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上述第一条要求的文件</w:t>
      </w:r>
      <w:r>
        <w:rPr>
          <w:rFonts w:hint="eastAsia" w:ascii="仿宋_GB2312" w:hAnsi="仿宋_GB2312" w:eastAsia="仿宋_GB2312" w:cs="仿宋_GB2312"/>
          <w:sz w:val="28"/>
          <w:szCs w:val="28"/>
        </w:rPr>
        <w:t>及报价密封加盖公章送达我公司20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室，公司地址：泉州市丰泽区安吉南路555号广电网络大楼，邮编：362000，联系人：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韩女士</w:t>
      </w:r>
      <w:r>
        <w:rPr>
          <w:rFonts w:hint="eastAsia" w:ascii="仿宋_GB2312" w:hAnsi="仿宋_GB2312" w:eastAsia="仿宋_GB2312" w:cs="仿宋_GB2312"/>
          <w:sz w:val="28"/>
          <w:szCs w:val="28"/>
        </w:rPr>
        <w:t>，电话：0595-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37987719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1B57C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vanish w:val="0"/>
          <w:spacing w:val="0"/>
          <w:kern w:val="2"/>
          <w:sz w:val="28"/>
          <w:szCs w:val="28"/>
        </w:rPr>
        <w:t>本项目递交报价文件截止时间止，若递交报价文件的报价人数量不足3家，或本项目通过资格及报价文件响应性审查合格的报价人数量不足3家的情况下，按以下规定执行：①通过资格及报价文件响应性审查的合格的报价人数量仅有2家的，则直接按内部询价方式，以报价最低者为中选人；②通过资格及报价文件响应性审查的合格的报价人数量仅有1家的情况下，直接对一家报价人采用单一来源谈判方式，并按规定的谈判程序进行谈判[报价人递交的报价文件中已注明的“报价含税总价（单价累加之和）”即为谈判的首次报价]。经评审及谈判后，参加谈判的报价人应按评审小组的要求提交本项目最终报价（最终报价不得高于首次报价）。</w:t>
      </w:r>
    </w:p>
    <w:p w14:paraId="294107F0">
      <w:pPr>
        <w:widowControl w:val="0"/>
        <w:spacing w:line="4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 w14:paraId="06568023">
      <w:pPr>
        <w:widowControl w:val="0"/>
        <w:spacing w:line="4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诉讼案件代理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服务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采购项目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第二次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报价表</w:t>
      </w:r>
    </w:p>
    <w:p w14:paraId="3A020B2A">
      <w:pPr>
        <w:widowControl/>
        <w:spacing w:line="500" w:lineRule="exact"/>
        <w:jc w:val="center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</w:t>
      </w:r>
      <w:r>
        <w:rPr>
          <w:rFonts w:hint="eastAsia" w:ascii="宋体" w:hAnsi="宋体"/>
          <w:b/>
          <w:szCs w:val="21"/>
        </w:rPr>
        <w:t>单位：人民币元</w:t>
      </w:r>
    </w:p>
    <w:tbl>
      <w:tblPr>
        <w:tblStyle w:val="12"/>
        <w:tblpPr w:leftFromText="180" w:rightFromText="180" w:vertAnchor="text" w:horzAnchor="page" w:tblpX="452" w:tblpY="358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213"/>
        <w:gridCol w:w="1755"/>
        <w:gridCol w:w="2655"/>
        <w:gridCol w:w="1185"/>
        <w:gridCol w:w="1432"/>
      </w:tblGrid>
      <w:tr w14:paraId="6567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885" w:type="dxa"/>
            <w:noWrap w:val="0"/>
            <w:vAlign w:val="center"/>
          </w:tcPr>
          <w:p w14:paraId="49106DF9">
            <w:pPr>
              <w:jc w:val="center"/>
              <w:rPr>
                <w:rFonts w:hint="eastAsia" w:hAnsi="宋体" w:eastAsia="宋体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213" w:type="dxa"/>
            <w:noWrap w:val="0"/>
            <w:vAlign w:val="center"/>
          </w:tcPr>
          <w:p w14:paraId="47E24821">
            <w:pPr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b/>
                <w:color w:val="auto"/>
                <w:sz w:val="24"/>
                <w:highlight w:val="none"/>
              </w:rPr>
              <w:t>服务内容</w:t>
            </w:r>
          </w:p>
        </w:tc>
        <w:tc>
          <w:tcPr>
            <w:tcW w:w="1755" w:type="dxa"/>
            <w:noWrap w:val="0"/>
            <w:vAlign w:val="center"/>
          </w:tcPr>
          <w:p w14:paraId="0A0C7A8B">
            <w:pPr>
              <w:jc w:val="both"/>
              <w:rPr>
                <w:rFonts w:hint="default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val="en-US" w:eastAsia="zh-CN"/>
              </w:rPr>
              <w:t>服务律师及执业年限</w:t>
            </w:r>
          </w:p>
        </w:tc>
        <w:tc>
          <w:tcPr>
            <w:tcW w:w="2655" w:type="dxa"/>
            <w:noWrap w:val="0"/>
            <w:vAlign w:val="center"/>
          </w:tcPr>
          <w:p w14:paraId="123687A7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b/>
                <w:bCs/>
                <w:vanish w:val="0"/>
                <w:color w:val="auto"/>
                <w:kern w:val="2"/>
                <w:sz w:val="24"/>
                <w:szCs w:val="24"/>
                <w:highlight w:val="none"/>
                <w:u w:val="double"/>
                <w:lang w:val="en-US" w:eastAsia="zh-CN"/>
              </w:rPr>
              <w:t>不含税总价</w:t>
            </w:r>
          </w:p>
        </w:tc>
        <w:tc>
          <w:tcPr>
            <w:tcW w:w="1185" w:type="dxa"/>
            <w:noWrap w:val="0"/>
            <w:vAlign w:val="center"/>
          </w:tcPr>
          <w:p w14:paraId="4EEC9E9B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val="en-US" w:eastAsia="zh-CN"/>
              </w:rPr>
              <w:t>税率</w:t>
            </w:r>
          </w:p>
        </w:tc>
        <w:tc>
          <w:tcPr>
            <w:tcW w:w="1432" w:type="dxa"/>
            <w:noWrap w:val="0"/>
            <w:vAlign w:val="center"/>
          </w:tcPr>
          <w:p w14:paraId="4E66FE9A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val="en-US" w:eastAsia="zh-CN"/>
              </w:rPr>
              <w:t>含税总价</w:t>
            </w:r>
          </w:p>
        </w:tc>
      </w:tr>
      <w:tr w14:paraId="0BB8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</w:trPr>
        <w:tc>
          <w:tcPr>
            <w:tcW w:w="885" w:type="dxa"/>
            <w:noWrap w:val="0"/>
            <w:vAlign w:val="center"/>
          </w:tcPr>
          <w:p w14:paraId="24913DB0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213" w:type="dxa"/>
            <w:noWrap w:val="0"/>
            <w:vAlign w:val="center"/>
          </w:tcPr>
          <w:p w14:paraId="71CFA64C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一审代理服务</w:t>
            </w:r>
          </w:p>
        </w:tc>
        <w:tc>
          <w:tcPr>
            <w:tcW w:w="1755" w:type="dxa"/>
            <w:noWrap w:val="0"/>
            <w:vAlign w:val="center"/>
          </w:tcPr>
          <w:p w14:paraId="59808FD5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655" w:type="dxa"/>
            <w:noWrap w:val="0"/>
            <w:vAlign w:val="center"/>
          </w:tcPr>
          <w:p w14:paraId="28AA2CB4">
            <w:pPr>
              <w:jc w:val="left"/>
              <w:rPr>
                <w:rFonts w:hint="eastAsia" w:ascii="宋体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5FE9C23">
            <w:pPr>
              <w:jc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95275D6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08D4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</w:trPr>
        <w:tc>
          <w:tcPr>
            <w:tcW w:w="885" w:type="dxa"/>
            <w:noWrap w:val="0"/>
            <w:vAlign w:val="center"/>
          </w:tcPr>
          <w:p w14:paraId="38B7F523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213" w:type="dxa"/>
            <w:noWrap w:val="0"/>
            <w:vAlign w:val="center"/>
          </w:tcPr>
          <w:p w14:paraId="1EF43644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二审代理服务</w:t>
            </w:r>
          </w:p>
        </w:tc>
        <w:tc>
          <w:tcPr>
            <w:tcW w:w="1755" w:type="dxa"/>
            <w:noWrap w:val="0"/>
            <w:vAlign w:val="center"/>
          </w:tcPr>
          <w:p w14:paraId="72C01281">
            <w:pPr>
              <w:jc w:val="center"/>
              <w:rPr>
                <w:rFonts w:hint="eastAsia" w:ascii="宋体" w:eastAsia="宋体"/>
                <w:b w:val="0"/>
                <w:bCs w:val="0"/>
                <w:vanish w:val="0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noWrap w:val="0"/>
            <w:vAlign w:val="center"/>
          </w:tcPr>
          <w:p w14:paraId="5F5974E7">
            <w:pPr>
              <w:jc w:val="left"/>
              <w:rPr>
                <w:rFonts w:hint="eastAsia" w:ascii="宋体" w:eastAsia="宋体"/>
                <w:vanish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BB940FF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154EA95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65E89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</w:trPr>
        <w:tc>
          <w:tcPr>
            <w:tcW w:w="4853" w:type="dxa"/>
            <w:gridSpan w:val="3"/>
            <w:noWrap w:val="0"/>
            <w:vAlign w:val="center"/>
          </w:tcPr>
          <w:p w14:paraId="05697CA9">
            <w:pPr>
              <w:jc w:val="center"/>
              <w:rPr>
                <w:rFonts w:hint="eastAsia" w:ascii="宋体" w:eastAsia="宋体"/>
                <w:b w:val="0"/>
                <w:bCs w:val="0"/>
                <w:vanish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2655" w:type="dxa"/>
            <w:noWrap w:val="0"/>
            <w:vAlign w:val="center"/>
          </w:tcPr>
          <w:p w14:paraId="7936B980">
            <w:pPr>
              <w:jc w:val="left"/>
              <w:rPr>
                <w:rFonts w:hint="eastAsia" w:ascii="宋体" w:eastAsia="宋体"/>
                <w:vanish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B3409FE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73C722BB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1DE5FBC9">
      <w:pPr>
        <w:pStyle w:val="2"/>
        <w:rPr>
          <w:rFonts w:hint="eastAsia" w:ascii="宋体" w:hAnsi="宋体" w:cs="宋体"/>
          <w:sz w:val="24"/>
        </w:rPr>
      </w:pPr>
    </w:p>
    <w:p w14:paraId="41722D0B"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</w:t>
      </w:r>
      <w:r>
        <w:rPr>
          <w:rFonts w:hint="eastAsia" w:ascii="宋体" w:hAnsi="宋体" w:cs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报价应</w:t>
      </w:r>
      <w:r>
        <w:rPr>
          <w:rFonts w:hint="eastAsia" w:ascii="宋体" w:hAnsi="宋体"/>
          <w:sz w:val="24"/>
          <w:lang w:val="en-US" w:eastAsia="zh-CN"/>
        </w:rPr>
        <w:t>包含律师服务费、差旅费、食宿费</w:t>
      </w:r>
      <w:r>
        <w:rPr>
          <w:rFonts w:hint="eastAsia" w:ascii="宋体" w:hAnsi="宋体"/>
          <w:sz w:val="24"/>
        </w:rPr>
        <w:t>等</w:t>
      </w:r>
      <w:r>
        <w:rPr>
          <w:rFonts w:hint="eastAsia" w:ascii="宋体" w:hAnsi="宋体"/>
          <w:sz w:val="24"/>
          <w:lang w:val="en-US" w:eastAsia="zh-CN"/>
        </w:rPr>
        <w:t>提供代理服务所需全部</w:t>
      </w:r>
      <w:r>
        <w:rPr>
          <w:rFonts w:hint="eastAsia" w:ascii="宋体" w:hAnsi="宋体"/>
          <w:sz w:val="24"/>
        </w:rPr>
        <w:t>费用。</w:t>
      </w:r>
    </w:p>
    <w:p w14:paraId="334D99B2">
      <w:pPr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</w:t>
      </w:r>
      <w:r>
        <w:rPr>
          <w:rFonts w:hint="eastAsia" w:ascii="宋体" w:hAnsi="宋体"/>
          <w:color w:val="FF0000"/>
          <w:sz w:val="24"/>
          <w:lang w:val="en-US" w:eastAsia="zh-CN"/>
        </w:rPr>
        <w:t>若出现2家或2家以上报价发票税率不一致，将以</w:t>
      </w:r>
      <w:r>
        <w:rPr>
          <w:rFonts w:hint="eastAsia" w:ascii="宋体" w:hAnsi="Bookman Old Style"/>
          <w:color w:val="FF0000"/>
          <w:sz w:val="24"/>
        </w:rPr>
        <w:t>不含税总价</w:t>
      </w:r>
      <w:r>
        <w:rPr>
          <w:rFonts w:hint="eastAsia" w:ascii="宋体" w:hAnsi="Bookman Old Style"/>
          <w:color w:val="FF0000"/>
          <w:sz w:val="24"/>
          <w:lang w:eastAsia="zh-CN"/>
        </w:rPr>
        <w:t>最低者中选</w:t>
      </w:r>
      <w:r>
        <w:rPr>
          <w:rFonts w:hint="eastAsia" w:ascii="宋体" w:hAnsi="Bookman Old Style"/>
          <w:color w:val="auto"/>
          <w:sz w:val="24"/>
          <w:lang w:eastAsia="zh-CN"/>
        </w:rPr>
        <w:t>。</w:t>
      </w:r>
    </w:p>
    <w:p w14:paraId="7126AABC">
      <w:pPr>
        <w:ind w:firstLine="3000" w:firstLineChars="1250"/>
        <w:rPr>
          <w:rFonts w:ascii="宋体" w:hAnsi="宋体" w:cs="宋体"/>
          <w:sz w:val="24"/>
        </w:rPr>
      </w:pPr>
    </w:p>
    <w:p w14:paraId="24B2A3A5">
      <w:pPr>
        <w:ind w:firstLine="3000" w:firstLineChars="125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报价公司（</w:t>
      </w:r>
      <w:r>
        <w:rPr>
          <w:rFonts w:hint="eastAsia" w:ascii="宋体" w:hAnsi="宋体"/>
          <w:sz w:val="24"/>
          <w:u w:val="single"/>
        </w:rPr>
        <w:t>全称并加盖公章</w:t>
      </w:r>
      <w:r>
        <w:rPr>
          <w:rFonts w:ascii="宋体" w:hAnsi="宋体" w:cs="宋体"/>
          <w:sz w:val="24"/>
        </w:rPr>
        <w:t>）：</w:t>
      </w:r>
    </w:p>
    <w:p w14:paraId="7238F1FC">
      <w:pPr>
        <w:ind w:firstLine="3000" w:firstLineChars="12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</w:t>
      </w:r>
    </w:p>
    <w:p w14:paraId="712AE961">
      <w:pPr>
        <w:ind w:firstLine="30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联系方式：</w:t>
      </w:r>
    </w:p>
    <w:p w14:paraId="6DA1F5C1">
      <w:pPr>
        <w:ind w:firstLine="30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报价日期：</w:t>
      </w:r>
    </w:p>
    <w:p w14:paraId="132B1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</w:rPr>
      </w:pPr>
    </w:p>
    <w:p w14:paraId="51623636">
      <w:pPr>
        <w:spacing w:line="400" w:lineRule="exact"/>
        <w:ind w:firstLine="0" w:firstLineChars="0"/>
        <w:rPr>
          <w:rFonts w:hint="default" w:ascii="宋体" w:hAnsi="宋体" w:eastAsia="宋体"/>
          <w:sz w:val="24"/>
          <w:lang w:val="en-US" w:eastAsia="zh-CN"/>
        </w:rPr>
      </w:pPr>
    </w:p>
    <w:sectPr>
      <w:pgSz w:w="11906" w:h="16838"/>
      <w:pgMar w:top="873" w:right="1179" w:bottom="873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OTIxNTdiNTMyYzY1ODU0NzM3OTFjNTc2OWE2MGYifQ=="/>
    <w:docVar w:name="KSO_WPS_MARK_KEY" w:val="73fd6865-9158-4761-974e-6f6a84d63a88"/>
  </w:docVars>
  <w:rsids>
    <w:rsidRoot w:val="00080580"/>
    <w:rsid w:val="00007C98"/>
    <w:rsid w:val="00011468"/>
    <w:rsid w:val="00012E74"/>
    <w:rsid w:val="00045F65"/>
    <w:rsid w:val="0005255C"/>
    <w:rsid w:val="00064718"/>
    <w:rsid w:val="00076343"/>
    <w:rsid w:val="00080580"/>
    <w:rsid w:val="0008144D"/>
    <w:rsid w:val="000C07DC"/>
    <w:rsid w:val="000E2C6A"/>
    <w:rsid w:val="000E3A50"/>
    <w:rsid w:val="000E43C3"/>
    <w:rsid w:val="000F37E0"/>
    <w:rsid w:val="00124A7C"/>
    <w:rsid w:val="0012514C"/>
    <w:rsid w:val="001519EF"/>
    <w:rsid w:val="001566BB"/>
    <w:rsid w:val="00157735"/>
    <w:rsid w:val="00174D47"/>
    <w:rsid w:val="001814AB"/>
    <w:rsid w:val="001B30F3"/>
    <w:rsid w:val="001B41F9"/>
    <w:rsid w:val="001D64DA"/>
    <w:rsid w:val="001E3B64"/>
    <w:rsid w:val="00212800"/>
    <w:rsid w:val="002131F4"/>
    <w:rsid w:val="00221748"/>
    <w:rsid w:val="00227041"/>
    <w:rsid w:val="00233ED7"/>
    <w:rsid w:val="00237751"/>
    <w:rsid w:val="00254A01"/>
    <w:rsid w:val="00266880"/>
    <w:rsid w:val="002719B4"/>
    <w:rsid w:val="002719F3"/>
    <w:rsid w:val="002726C7"/>
    <w:rsid w:val="00274D2C"/>
    <w:rsid w:val="00275551"/>
    <w:rsid w:val="0027683A"/>
    <w:rsid w:val="002A5AA4"/>
    <w:rsid w:val="002B39E0"/>
    <w:rsid w:val="002C18D5"/>
    <w:rsid w:val="002C1AD3"/>
    <w:rsid w:val="002C2A25"/>
    <w:rsid w:val="002C3CFD"/>
    <w:rsid w:val="002D4EE3"/>
    <w:rsid w:val="002E299B"/>
    <w:rsid w:val="002E2DD2"/>
    <w:rsid w:val="002E7390"/>
    <w:rsid w:val="002F7C9E"/>
    <w:rsid w:val="00305BE3"/>
    <w:rsid w:val="003111CE"/>
    <w:rsid w:val="003312ED"/>
    <w:rsid w:val="00350DF0"/>
    <w:rsid w:val="003527E3"/>
    <w:rsid w:val="0036119C"/>
    <w:rsid w:val="003923D6"/>
    <w:rsid w:val="003A5D0D"/>
    <w:rsid w:val="003D1DAB"/>
    <w:rsid w:val="003F25B4"/>
    <w:rsid w:val="00402F61"/>
    <w:rsid w:val="00405037"/>
    <w:rsid w:val="00410BB9"/>
    <w:rsid w:val="00412813"/>
    <w:rsid w:val="00424379"/>
    <w:rsid w:val="00430EED"/>
    <w:rsid w:val="00442757"/>
    <w:rsid w:val="00447BC4"/>
    <w:rsid w:val="0045026B"/>
    <w:rsid w:val="004566F0"/>
    <w:rsid w:val="0045694B"/>
    <w:rsid w:val="0048678E"/>
    <w:rsid w:val="00494517"/>
    <w:rsid w:val="0049496A"/>
    <w:rsid w:val="004A35B0"/>
    <w:rsid w:val="004B7090"/>
    <w:rsid w:val="004B720A"/>
    <w:rsid w:val="004C282A"/>
    <w:rsid w:val="004C6129"/>
    <w:rsid w:val="004D084D"/>
    <w:rsid w:val="004D3CE0"/>
    <w:rsid w:val="004D43FA"/>
    <w:rsid w:val="004D587A"/>
    <w:rsid w:val="0051093A"/>
    <w:rsid w:val="005239DE"/>
    <w:rsid w:val="005252D0"/>
    <w:rsid w:val="005370F0"/>
    <w:rsid w:val="005374E6"/>
    <w:rsid w:val="00561566"/>
    <w:rsid w:val="00566793"/>
    <w:rsid w:val="00570D90"/>
    <w:rsid w:val="00586B10"/>
    <w:rsid w:val="00596998"/>
    <w:rsid w:val="005A19FF"/>
    <w:rsid w:val="005B5AEF"/>
    <w:rsid w:val="005C495F"/>
    <w:rsid w:val="005C635A"/>
    <w:rsid w:val="005C76FC"/>
    <w:rsid w:val="005D159E"/>
    <w:rsid w:val="005D37C0"/>
    <w:rsid w:val="005D4EC4"/>
    <w:rsid w:val="005E1C41"/>
    <w:rsid w:val="005F36E4"/>
    <w:rsid w:val="005F7029"/>
    <w:rsid w:val="00607BF8"/>
    <w:rsid w:val="006150F3"/>
    <w:rsid w:val="006331BC"/>
    <w:rsid w:val="00650518"/>
    <w:rsid w:val="00654F2F"/>
    <w:rsid w:val="00656B4F"/>
    <w:rsid w:val="00674030"/>
    <w:rsid w:val="006756C9"/>
    <w:rsid w:val="00694B63"/>
    <w:rsid w:val="00697F19"/>
    <w:rsid w:val="006A4B96"/>
    <w:rsid w:val="006B1435"/>
    <w:rsid w:val="006B413A"/>
    <w:rsid w:val="006C4757"/>
    <w:rsid w:val="006D00DC"/>
    <w:rsid w:val="006D662C"/>
    <w:rsid w:val="006F029B"/>
    <w:rsid w:val="0070118F"/>
    <w:rsid w:val="0070379A"/>
    <w:rsid w:val="00713D60"/>
    <w:rsid w:val="007176DA"/>
    <w:rsid w:val="00720B28"/>
    <w:rsid w:val="00721450"/>
    <w:rsid w:val="0073247B"/>
    <w:rsid w:val="007333EB"/>
    <w:rsid w:val="00733881"/>
    <w:rsid w:val="00733A55"/>
    <w:rsid w:val="00740992"/>
    <w:rsid w:val="007506BB"/>
    <w:rsid w:val="00751F06"/>
    <w:rsid w:val="0075604F"/>
    <w:rsid w:val="007600E8"/>
    <w:rsid w:val="007706FB"/>
    <w:rsid w:val="007719D0"/>
    <w:rsid w:val="00771DC8"/>
    <w:rsid w:val="0078573A"/>
    <w:rsid w:val="00787C50"/>
    <w:rsid w:val="00795D96"/>
    <w:rsid w:val="007A27FC"/>
    <w:rsid w:val="007D188A"/>
    <w:rsid w:val="00812899"/>
    <w:rsid w:val="00847397"/>
    <w:rsid w:val="00850D59"/>
    <w:rsid w:val="0086104A"/>
    <w:rsid w:val="00877741"/>
    <w:rsid w:val="008801BE"/>
    <w:rsid w:val="00886BDB"/>
    <w:rsid w:val="008A1666"/>
    <w:rsid w:val="008B24D3"/>
    <w:rsid w:val="008C0882"/>
    <w:rsid w:val="008C7EB9"/>
    <w:rsid w:val="008E345A"/>
    <w:rsid w:val="008F3405"/>
    <w:rsid w:val="00901B1E"/>
    <w:rsid w:val="0090378B"/>
    <w:rsid w:val="0090448E"/>
    <w:rsid w:val="00905C71"/>
    <w:rsid w:val="00916EDC"/>
    <w:rsid w:val="00923D47"/>
    <w:rsid w:val="00927AD1"/>
    <w:rsid w:val="009370C8"/>
    <w:rsid w:val="00944D13"/>
    <w:rsid w:val="00952E7D"/>
    <w:rsid w:val="009624F9"/>
    <w:rsid w:val="009636A7"/>
    <w:rsid w:val="00976E54"/>
    <w:rsid w:val="00980A37"/>
    <w:rsid w:val="00984333"/>
    <w:rsid w:val="00986F76"/>
    <w:rsid w:val="009A4625"/>
    <w:rsid w:val="009A5B68"/>
    <w:rsid w:val="009A71A0"/>
    <w:rsid w:val="009B0831"/>
    <w:rsid w:val="009B26E1"/>
    <w:rsid w:val="009C1F12"/>
    <w:rsid w:val="009C3BFF"/>
    <w:rsid w:val="009C3E0C"/>
    <w:rsid w:val="009D48A1"/>
    <w:rsid w:val="009D77C7"/>
    <w:rsid w:val="009E6872"/>
    <w:rsid w:val="009F3C96"/>
    <w:rsid w:val="009F5AC1"/>
    <w:rsid w:val="00A040C7"/>
    <w:rsid w:val="00A04D2C"/>
    <w:rsid w:val="00A1258B"/>
    <w:rsid w:val="00A13220"/>
    <w:rsid w:val="00A135EA"/>
    <w:rsid w:val="00A168CC"/>
    <w:rsid w:val="00A25939"/>
    <w:rsid w:val="00A30427"/>
    <w:rsid w:val="00A434AA"/>
    <w:rsid w:val="00A44428"/>
    <w:rsid w:val="00A54C17"/>
    <w:rsid w:val="00A70758"/>
    <w:rsid w:val="00A72CDE"/>
    <w:rsid w:val="00A90386"/>
    <w:rsid w:val="00AA0AD0"/>
    <w:rsid w:val="00AA75CD"/>
    <w:rsid w:val="00AB167E"/>
    <w:rsid w:val="00AD2CE5"/>
    <w:rsid w:val="00AD4DB6"/>
    <w:rsid w:val="00AD5EA6"/>
    <w:rsid w:val="00AD6FCB"/>
    <w:rsid w:val="00AE3733"/>
    <w:rsid w:val="00AE4DBA"/>
    <w:rsid w:val="00AF1170"/>
    <w:rsid w:val="00AF1324"/>
    <w:rsid w:val="00AF4C9E"/>
    <w:rsid w:val="00AF6B77"/>
    <w:rsid w:val="00B11C65"/>
    <w:rsid w:val="00B23FCA"/>
    <w:rsid w:val="00B371D2"/>
    <w:rsid w:val="00B4449E"/>
    <w:rsid w:val="00B52D92"/>
    <w:rsid w:val="00B54975"/>
    <w:rsid w:val="00B61131"/>
    <w:rsid w:val="00B659E5"/>
    <w:rsid w:val="00B67473"/>
    <w:rsid w:val="00B72B25"/>
    <w:rsid w:val="00B77D22"/>
    <w:rsid w:val="00B77E0D"/>
    <w:rsid w:val="00B87767"/>
    <w:rsid w:val="00BB095F"/>
    <w:rsid w:val="00BC4579"/>
    <w:rsid w:val="00BD3BEE"/>
    <w:rsid w:val="00BD4BD4"/>
    <w:rsid w:val="00BD70C3"/>
    <w:rsid w:val="00BE310C"/>
    <w:rsid w:val="00BE5883"/>
    <w:rsid w:val="00C01B16"/>
    <w:rsid w:val="00C139AF"/>
    <w:rsid w:val="00C24D5E"/>
    <w:rsid w:val="00C26EA4"/>
    <w:rsid w:val="00C366AC"/>
    <w:rsid w:val="00C42663"/>
    <w:rsid w:val="00C4318B"/>
    <w:rsid w:val="00C5018C"/>
    <w:rsid w:val="00C52F78"/>
    <w:rsid w:val="00C713BB"/>
    <w:rsid w:val="00C76381"/>
    <w:rsid w:val="00C87183"/>
    <w:rsid w:val="00CB3446"/>
    <w:rsid w:val="00CB37D4"/>
    <w:rsid w:val="00CB4C65"/>
    <w:rsid w:val="00CD1C95"/>
    <w:rsid w:val="00CE5DDC"/>
    <w:rsid w:val="00D017CD"/>
    <w:rsid w:val="00D04474"/>
    <w:rsid w:val="00D0497F"/>
    <w:rsid w:val="00D04B33"/>
    <w:rsid w:val="00D0628F"/>
    <w:rsid w:val="00D07991"/>
    <w:rsid w:val="00D22EDA"/>
    <w:rsid w:val="00D247F8"/>
    <w:rsid w:val="00D3127E"/>
    <w:rsid w:val="00D31FFF"/>
    <w:rsid w:val="00D46FEE"/>
    <w:rsid w:val="00D72F77"/>
    <w:rsid w:val="00D73345"/>
    <w:rsid w:val="00D75ED3"/>
    <w:rsid w:val="00D854AE"/>
    <w:rsid w:val="00D87AFE"/>
    <w:rsid w:val="00D914D4"/>
    <w:rsid w:val="00D931A8"/>
    <w:rsid w:val="00DB1AA3"/>
    <w:rsid w:val="00DB559C"/>
    <w:rsid w:val="00DB740B"/>
    <w:rsid w:val="00DD24A1"/>
    <w:rsid w:val="00DD3C29"/>
    <w:rsid w:val="00DE5A88"/>
    <w:rsid w:val="00DE6662"/>
    <w:rsid w:val="00DE6C24"/>
    <w:rsid w:val="00E01A02"/>
    <w:rsid w:val="00E2156B"/>
    <w:rsid w:val="00E241BC"/>
    <w:rsid w:val="00E30327"/>
    <w:rsid w:val="00E31773"/>
    <w:rsid w:val="00E3181A"/>
    <w:rsid w:val="00E31AFC"/>
    <w:rsid w:val="00E448C5"/>
    <w:rsid w:val="00E45877"/>
    <w:rsid w:val="00E45FEE"/>
    <w:rsid w:val="00E46BBF"/>
    <w:rsid w:val="00E47F17"/>
    <w:rsid w:val="00E5434D"/>
    <w:rsid w:val="00E57F21"/>
    <w:rsid w:val="00E604BF"/>
    <w:rsid w:val="00E631CB"/>
    <w:rsid w:val="00E70F5A"/>
    <w:rsid w:val="00E71D72"/>
    <w:rsid w:val="00E76C77"/>
    <w:rsid w:val="00E80CE9"/>
    <w:rsid w:val="00EA5263"/>
    <w:rsid w:val="00EA5F17"/>
    <w:rsid w:val="00EB3AB6"/>
    <w:rsid w:val="00EB5707"/>
    <w:rsid w:val="00EC23D3"/>
    <w:rsid w:val="00EC732C"/>
    <w:rsid w:val="00EF2B28"/>
    <w:rsid w:val="00F12576"/>
    <w:rsid w:val="00F16099"/>
    <w:rsid w:val="00F165A3"/>
    <w:rsid w:val="00F343E3"/>
    <w:rsid w:val="00F35E02"/>
    <w:rsid w:val="00F44655"/>
    <w:rsid w:val="00F45D85"/>
    <w:rsid w:val="00F56393"/>
    <w:rsid w:val="00F61E90"/>
    <w:rsid w:val="00F639F0"/>
    <w:rsid w:val="00F737FB"/>
    <w:rsid w:val="00F85C1D"/>
    <w:rsid w:val="00F95E7A"/>
    <w:rsid w:val="00F97540"/>
    <w:rsid w:val="00FA639C"/>
    <w:rsid w:val="00FB2ABD"/>
    <w:rsid w:val="00FC4E71"/>
    <w:rsid w:val="00FF0AAD"/>
    <w:rsid w:val="00FF6857"/>
    <w:rsid w:val="00FF6F7C"/>
    <w:rsid w:val="01520319"/>
    <w:rsid w:val="050C5B82"/>
    <w:rsid w:val="07170CA0"/>
    <w:rsid w:val="07484B41"/>
    <w:rsid w:val="08CE28F0"/>
    <w:rsid w:val="0A8F5FE0"/>
    <w:rsid w:val="0B5D3D1A"/>
    <w:rsid w:val="0BFC2239"/>
    <w:rsid w:val="0F1F14FC"/>
    <w:rsid w:val="139644E1"/>
    <w:rsid w:val="17397720"/>
    <w:rsid w:val="1A90536B"/>
    <w:rsid w:val="1D24192E"/>
    <w:rsid w:val="1D754F89"/>
    <w:rsid w:val="1E181032"/>
    <w:rsid w:val="1E9D7CAC"/>
    <w:rsid w:val="1FD63BFF"/>
    <w:rsid w:val="216D42DB"/>
    <w:rsid w:val="23C804F8"/>
    <w:rsid w:val="243949BC"/>
    <w:rsid w:val="24545AAF"/>
    <w:rsid w:val="293C59B5"/>
    <w:rsid w:val="2A0710DF"/>
    <w:rsid w:val="2C4A2D0B"/>
    <w:rsid w:val="2D732AB2"/>
    <w:rsid w:val="2E184702"/>
    <w:rsid w:val="2E55071E"/>
    <w:rsid w:val="2E6E5552"/>
    <w:rsid w:val="2EFB010F"/>
    <w:rsid w:val="320E2978"/>
    <w:rsid w:val="328C1EE0"/>
    <w:rsid w:val="349C3D5E"/>
    <w:rsid w:val="351522DD"/>
    <w:rsid w:val="36AA7525"/>
    <w:rsid w:val="380D79A2"/>
    <w:rsid w:val="3AB45ECB"/>
    <w:rsid w:val="3AE17F06"/>
    <w:rsid w:val="428A262B"/>
    <w:rsid w:val="43795214"/>
    <w:rsid w:val="452350DE"/>
    <w:rsid w:val="461B46D2"/>
    <w:rsid w:val="47ED627C"/>
    <w:rsid w:val="487B2370"/>
    <w:rsid w:val="48A52D80"/>
    <w:rsid w:val="48B40396"/>
    <w:rsid w:val="4A8A2DF9"/>
    <w:rsid w:val="4BA650FC"/>
    <w:rsid w:val="53FD4DAA"/>
    <w:rsid w:val="547863FD"/>
    <w:rsid w:val="54FD798C"/>
    <w:rsid w:val="55D32DC0"/>
    <w:rsid w:val="573C5425"/>
    <w:rsid w:val="596334BB"/>
    <w:rsid w:val="5A1A4E73"/>
    <w:rsid w:val="5CA778E5"/>
    <w:rsid w:val="5D420C17"/>
    <w:rsid w:val="63FA6523"/>
    <w:rsid w:val="64D5362B"/>
    <w:rsid w:val="6AE47705"/>
    <w:rsid w:val="6E003D49"/>
    <w:rsid w:val="70A27037"/>
    <w:rsid w:val="72565D8B"/>
    <w:rsid w:val="74886E3D"/>
    <w:rsid w:val="77991CAB"/>
    <w:rsid w:val="7836030B"/>
    <w:rsid w:val="7980482E"/>
    <w:rsid w:val="79D9231B"/>
    <w:rsid w:val="7A2B32AF"/>
    <w:rsid w:val="7BA32931"/>
    <w:rsid w:val="7E6D5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next w:val="1"/>
    <w:qFormat/>
    <w:uiPriority w:val="0"/>
    <w:pPr>
      <w:keepNext/>
      <w:keepLines/>
      <w:widowControl w:val="0"/>
      <w:spacing w:before="280" w:after="290" w:line="372" w:lineRule="auto"/>
      <w:jc w:val="both"/>
      <w:outlineLvl w:val="3"/>
    </w:pPr>
    <w:rPr>
      <w:rFonts w:ascii="Cambria" w:hAnsi="Cambria" w:eastAsia="宋体" w:cs="Times New Roman"/>
      <w:b/>
      <w:kern w:val="2"/>
      <w:sz w:val="28"/>
      <w:szCs w:val="28"/>
      <w:lang w:val="en-US" w:eastAsia="zh-CN" w:bidi="ar-SA"/>
    </w:rPr>
  </w:style>
  <w:style w:type="paragraph" w:styleId="4">
    <w:name w:val="heading 5"/>
    <w:basedOn w:val="1"/>
    <w:next w:val="1"/>
    <w:link w:val="20"/>
    <w:qFormat/>
    <w:uiPriority w:val="9"/>
    <w:pPr>
      <w:spacing w:before="100" w:beforeAutospacing="1" w:after="100" w:afterAutospacing="1"/>
      <w:jc w:val="left"/>
      <w:outlineLvl w:val="4"/>
    </w:pPr>
    <w:rPr>
      <w:rFonts w:ascii="宋体" w:hAnsi="宋体"/>
      <w:b/>
      <w:kern w:val="0"/>
      <w:sz w:val="20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ody Text"/>
    <w:qFormat/>
    <w:uiPriority w:val="0"/>
    <w:pPr>
      <w:widowControl w:val="0"/>
      <w:spacing w:before="100" w:beforeAutospacing="1" w:after="12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Date"/>
    <w:basedOn w:val="1"/>
    <w:next w:val="1"/>
    <w:link w:val="17"/>
    <w:qFormat/>
    <w:uiPriority w:val="0"/>
    <w:pPr>
      <w:ind w:left="100" w:leftChars="2500"/>
    </w:pPr>
  </w:style>
  <w:style w:type="paragraph" w:styleId="8">
    <w:name w:val="Balloon Text"/>
    <w:basedOn w:val="1"/>
    <w:link w:val="27"/>
    <w:semiHidden/>
    <w:unhideWhenUsed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customStyle="1" w:styleId="17">
    <w:name w:val="日期 Char"/>
    <w:link w:val="7"/>
    <w:qFormat/>
    <w:uiPriority w:val="0"/>
    <w:rPr>
      <w:kern w:val="2"/>
      <w:sz w:val="21"/>
      <w:szCs w:val="24"/>
    </w:rPr>
  </w:style>
  <w:style w:type="character" w:customStyle="1" w:styleId="18">
    <w:name w:val="font5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5 Char"/>
    <w:link w:val="4"/>
    <w:qFormat/>
    <w:uiPriority w:val="9"/>
    <w:rPr>
      <w:rFonts w:ascii="宋体" w:hAnsi="宋体" w:cs="宋体"/>
      <w:b/>
    </w:rPr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  <w:jc w:val="left"/>
    </w:pPr>
    <w:rPr>
      <w:kern w:val="0"/>
      <w:sz w:val="20"/>
      <w:szCs w:val="20"/>
    </w:rPr>
  </w:style>
  <w:style w:type="paragraph" w:customStyle="1" w:styleId="22">
    <w:name w:val="_Style 2"/>
    <w:basedOn w:val="1"/>
    <w:qFormat/>
    <w:uiPriority w:val="0"/>
    <w:pPr>
      <w:ind w:firstLine="420" w:firstLineChars="200"/>
    </w:pPr>
  </w:style>
  <w:style w:type="paragraph" w:customStyle="1" w:styleId="23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批注框文本 Char"/>
    <w:basedOn w:val="14"/>
    <w:link w:val="8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3011</Words>
  <Characters>3139</Characters>
  <Lines>4</Lines>
  <Paragraphs>1</Paragraphs>
  <TotalTime>1</TotalTime>
  <ScaleCrop>false</ScaleCrop>
  <LinksUpToDate>false</LinksUpToDate>
  <CharactersWithSpaces>3217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2020-03-06T01:50:00Z</dcterms:created>
  <dc:creator>User</dc:creator>
  <cp:lastModifiedBy>韩瑞珍</cp:lastModifiedBy>
  <dcterms:modified xsi:type="dcterms:W3CDTF">2025-05-22T02:47:31Z</dcterms:modified>
  <dc:title>____________________________你们好：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A12D8F87C37D48E6A442C4F793BC8037_13</vt:lpwstr>
  </property>
  <property fmtid="{D5CDD505-2E9C-101B-9397-08002B2CF9AE}" pid="4" name="KSOTemplateDocerSaveRecord">
    <vt:lpwstr>eyJoZGlkIjoiMDZkOGM5NWYxNDNmNDI1MGZmOTdlYzU1NjZhMTA1NDEifQ==</vt:lpwstr>
  </property>
</Properties>
</file>